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4F19" w:rsidRPr="00A44F19" w:rsidRDefault="00A44F19" w:rsidP="00A44F19">
      <w:pPr>
        <w:spacing w:after="0" w:line="240" w:lineRule="auto"/>
        <w:rPr>
          <w:rFonts w:ascii="Times New Roman" w:eastAsia="Times New Roman" w:hAnsi="Times New Roman" w:cs="Times New Roman"/>
          <w:b/>
          <w:bCs/>
          <w:sz w:val="20"/>
          <w:szCs w:val="20"/>
          <w:lang w:eastAsia="et-EE"/>
        </w:rPr>
      </w:pPr>
      <w:bookmarkStart w:id="0" w:name="_GoBack"/>
      <w:r w:rsidRPr="00A44F19">
        <w:rPr>
          <w:rFonts w:ascii="Times New Roman" w:eastAsia="Times New Roman" w:hAnsi="Times New Roman" w:cs="Times New Roman"/>
          <w:b/>
          <w:bCs/>
          <w:sz w:val="20"/>
          <w:szCs w:val="20"/>
          <w:lang w:eastAsia="et-EE"/>
        </w:rPr>
        <w:t>Vasksulfaat</w:t>
      </w:r>
    </w:p>
    <w:p w:rsidR="00A44F19" w:rsidRPr="00A44F19" w:rsidRDefault="00A44F19" w:rsidP="00A44F19">
      <w:pPr>
        <w:spacing w:after="45" w:line="240" w:lineRule="auto"/>
        <w:rPr>
          <w:rFonts w:ascii="Times New Roman" w:eastAsia="Times New Roman" w:hAnsi="Times New Roman" w:cs="Times New Roman"/>
          <w:sz w:val="24"/>
          <w:szCs w:val="24"/>
          <w:lang w:eastAsia="et-EE"/>
        </w:rPr>
      </w:pPr>
      <w:r w:rsidRPr="00A44F19">
        <w:rPr>
          <w:rFonts w:ascii="Times New Roman" w:eastAsia="Times New Roman" w:hAnsi="Times New Roman" w:cs="Times New Roman"/>
          <w:sz w:val="24"/>
          <w:szCs w:val="24"/>
          <w:lang w:eastAsia="et-EE"/>
        </w:rPr>
        <w:t>Vasksulfaat teeb puidu sinakas-rohekaks umbes paari-kolme kuuga ning samaaegselt kaitseb puitu. Vasksulfaat on pulbri kujul, mida lahustatakse vees. Vasksulfaat annab hea kaitse hallitus- ja mädanikseente vastu.</w:t>
      </w:r>
    </w:p>
    <w:tbl>
      <w:tblPr>
        <w:tblW w:w="5000" w:type="pct"/>
        <w:tblCellSpacing w:w="0" w:type="dxa"/>
        <w:tblCellMar>
          <w:left w:w="0" w:type="dxa"/>
          <w:right w:w="0" w:type="dxa"/>
        </w:tblCellMar>
        <w:tblLook w:val="04A0" w:firstRow="1" w:lastRow="0" w:firstColumn="1" w:lastColumn="0" w:noHBand="0" w:noVBand="1"/>
      </w:tblPr>
      <w:tblGrid>
        <w:gridCol w:w="3207"/>
        <w:gridCol w:w="14"/>
        <w:gridCol w:w="45"/>
        <w:gridCol w:w="5896"/>
      </w:tblGrid>
      <w:tr w:rsidR="00A44F19" w:rsidRPr="00A44F19" w:rsidTr="00A44F19">
        <w:trPr>
          <w:tblCellSpacing w:w="0" w:type="dxa"/>
        </w:trPr>
        <w:tc>
          <w:tcPr>
            <w:tcW w:w="1750" w:type="pct"/>
            <w:tcMar>
              <w:top w:w="45" w:type="dxa"/>
              <w:left w:w="45" w:type="dxa"/>
              <w:bottom w:w="45" w:type="dxa"/>
              <w:right w:w="45" w:type="dxa"/>
            </w:tcMar>
            <w:hideMark/>
          </w:tcPr>
          <w:p w:rsidR="00A44F19" w:rsidRPr="00A44F19" w:rsidRDefault="00A44F19" w:rsidP="00A44F19">
            <w:pPr>
              <w:spacing w:after="0" w:line="240" w:lineRule="auto"/>
              <w:rPr>
                <w:rFonts w:ascii="Times New Roman" w:eastAsia="Times New Roman" w:hAnsi="Times New Roman" w:cs="Times New Roman"/>
                <w:sz w:val="24"/>
                <w:szCs w:val="24"/>
                <w:lang w:eastAsia="et-EE"/>
              </w:rPr>
            </w:pPr>
          </w:p>
        </w:tc>
        <w:tc>
          <w:tcPr>
            <w:tcW w:w="0" w:type="auto"/>
            <w:vAlign w:val="center"/>
            <w:hideMark/>
          </w:tcPr>
          <w:p w:rsidR="00A44F19" w:rsidRPr="00A44F19" w:rsidRDefault="00A44F19" w:rsidP="00A44F19">
            <w:pPr>
              <w:spacing w:after="0" w:line="240" w:lineRule="auto"/>
              <w:rPr>
                <w:rFonts w:ascii="Times New Roman" w:eastAsia="Times New Roman" w:hAnsi="Times New Roman" w:cs="Times New Roman"/>
                <w:sz w:val="24"/>
                <w:szCs w:val="24"/>
                <w:lang w:eastAsia="et-EE"/>
              </w:rPr>
            </w:pPr>
          </w:p>
        </w:tc>
        <w:tc>
          <w:tcPr>
            <w:tcW w:w="45" w:type="dxa"/>
            <w:vAlign w:val="center"/>
            <w:hideMark/>
          </w:tcPr>
          <w:p w:rsidR="00A44F19" w:rsidRPr="00A44F19" w:rsidRDefault="00A44F19" w:rsidP="00A44F19">
            <w:pPr>
              <w:spacing w:after="0" w:line="240" w:lineRule="auto"/>
              <w:rPr>
                <w:rFonts w:ascii="Times New Roman" w:eastAsia="Times New Roman" w:hAnsi="Times New Roman" w:cs="Times New Roman"/>
                <w:sz w:val="24"/>
                <w:szCs w:val="24"/>
                <w:lang w:eastAsia="et-EE"/>
              </w:rPr>
            </w:pPr>
          </w:p>
        </w:tc>
        <w:tc>
          <w:tcPr>
            <w:tcW w:w="0" w:type="auto"/>
            <w:tcMar>
              <w:top w:w="45" w:type="dxa"/>
              <w:left w:w="45" w:type="dxa"/>
              <w:bottom w:w="45" w:type="dxa"/>
              <w:right w:w="45" w:type="dxa"/>
            </w:tcMar>
            <w:hideMark/>
          </w:tcPr>
          <w:p w:rsidR="00A44F19" w:rsidRPr="00A44F19" w:rsidRDefault="00A44F19" w:rsidP="00A44F19">
            <w:pPr>
              <w:spacing w:after="0" w:line="240" w:lineRule="auto"/>
              <w:rPr>
                <w:rFonts w:ascii="Times New Roman" w:eastAsia="Times New Roman" w:hAnsi="Times New Roman" w:cs="Times New Roman"/>
                <w:sz w:val="24"/>
                <w:szCs w:val="24"/>
                <w:lang w:eastAsia="et-EE"/>
              </w:rPr>
            </w:pPr>
            <w:r w:rsidRPr="00A44F19">
              <w:rPr>
                <w:rFonts w:ascii="Times New Roman" w:eastAsia="Times New Roman" w:hAnsi="Times New Roman" w:cs="Times New Roman"/>
                <w:sz w:val="24"/>
                <w:szCs w:val="24"/>
                <w:u w:val="single"/>
                <w:lang w:eastAsia="et-EE"/>
              </w:rPr>
              <w:t>Kasutuskohad</w:t>
            </w:r>
            <w:r w:rsidRPr="00A44F19">
              <w:rPr>
                <w:rFonts w:ascii="Times New Roman" w:eastAsia="Times New Roman" w:hAnsi="Times New Roman" w:cs="Times New Roman"/>
                <w:sz w:val="24"/>
                <w:szCs w:val="24"/>
                <w:lang w:eastAsia="et-EE"/>
              </w:rPr>
              <w:t>:</w:t>
            </w:r>
            <w:r w:rsidRPr="00A44F19">
              <w:rPr>
                <w:rFonts w:ascii="Times New Roman" w:eastAsia="Times New Roman" w:hAnsi="Times New Roman" w:cs="Times New Roman"/>
                <w:sz w:val="24"/>
                <w:szCs w:val="24"/>
                <w:lang w:eastAsia="et-EE"/>
              </w:rPr>
              <w:br/>
              <w:t xml:space="preserve">Palkmajade viimistlemine </w:t>
            </w:r>
          </w:p>
        </w:tc>
      </w:tr>
    </w:tbl>
    <w:p w:rsidR="00A44F19" w:rsidRPr="00A44F19" w:rsidRDefault="00A44F19" w:rsidP="00A44F19">
      <w:pPr>
        <w:spacing w:after="150" w:line="240" w:lineRule="auto"/>
        <w:rPr>
          <w:rFonts w:ascii="Times New Roman" w:eastAsia="Times New Roman" w:hAnsi="Times New Roman" w:cs="Times New Roman"/>
          <w:sz w:val="24"/>
          <w:szCs w:val="24"/>
          <w:lang w:eastAsia="et-EE"/>
        </w:rPr>
      </w:pPr>
      <w:r w:rsidRPr="00A44F19">
        <w:rPr>
          <w:rFonts w:ascii="Times New Roman" w:eastAsia="Times New Roman" w:hAnsi="Times New Roman" w:cs="Times New Roman"/>
          <w:sz w:val="24"/>
          <w:szCs w:val="24"/>
          <w:u w:val="single"/>
          <w:lang w:eastAsia="et-EE"/>
        </w:rPr>
        <w:t>Kasutamisjuhend</w:t>
      </w:r>
      <w:r w:rsidRPr="00A44F19">
        <w:rPr>
          <w:rFonts w:ascii="Times New Roman" w:eastAsia="Times New Roman" w:hAnsi="Times New Roman" w:cs="Times New Roman"/>
          <w:sz w:val="24"/>
          <w:szCs w:val="24"/>
          <w:lang w:eastAsia="et-EE"/>
        </w:rPr>
        <w:t>:</w:t>
      </w:r>
      <w:r w:rsidRPr="00A44F19">
        <w:rPr>
          <w:rFonts w:ascii="Times New Roman" w:eastAsia="Times New Roman" w:hAnsi="Times New Roman" w:cs="Times New Roman"/>
          <w:sz w:val="24"/>
          <w:szCs w:val="24"/>
          <w:lang w:eastAsia="et-EE"/>
        </w:rPr>
        <w:br/>
        <w:t xml:space="preserve">Segatakse hoolikalt sooja vette, segamissuhe: 1kg vasksulfaati 10 l vett. Lahust kantakse puidule piisavalt palju, nii et puit märgub ja aine imendub puitu, vältida voolamist. Puitpinna lõplik toon tuleb esile umbes paari/kolme kuu pärast. Päikesevalgus intensiivistab pinna tooni muutust. Lõplikku tooni mõjutab ka puidu kvaliteet ja ladustamise aeg. Võimalusel testi tooni paar kuud enne lõplikku viimistlemist. Soovitav on töödeldud pind aasta pärast viimistleda tootega Hele Tõrvaõli või Tärpentini-linaõli. Kulu: </w:t>
      </w:r>
      <w:proofErr w:type="spellStart"/>
      <w:r w:rsidRPr="00A44F19">
        <w:rPr>
          <w:rFonts w:ascii="Times New Roman" w:eastAsia="Times New Roman" w:hAnsi="Times New Roman" w:cs="Times New Roman"/>
          <w:sz w:val="24"/>
          <w:szCs w:val="24"/>
          <w:lang w:eastAsia="et-EE"/>
        </w:rPr>
        <w:t>saematejalile</w:t>
      </w:r>
      <w:proofErr w:type="spellEnd"/>
      <w:r w:rsidRPr="00A44F19">
        <w:rPr>
          <w:rFonts w:ascii="Times New Roman" w:eastAsia="Times New Roman" w:hAnsi="Times New Roman" w:cs="Times New Roman"/>
          <w:sz w:val="24"/>
          <w:szCs w:val="24"/>
          <w:lang w:eastAsia="et-EE"/>
        </w:rPr>
        <w:t xml:space="preserve"> 4-5 m2 / 1 liiter, hööveldatud pinnale 8-10 m2 / 1 liiter. Kuivamisaeg: u. 3 tundi. </w:t>
      </w:r>
    </w:p>
    <w:p w:rsidR="005C68C5" w:rsidRDefault="005C68C5"/>
    <w:p w:rsidR="00A44F19" w:rsidRDefault="00A44F19"/>
    <w:p w:rsidR="00A44F19" w:rsidRPr="00A44F19" w:rsidRDefault="00A44F19" w:rsidP="00A44F19">
      <w:pPr>
        <w:spacing w:after="0" w:line="240" w:lineRule="auto"/>
        <w:rPr>
          <w:rFonts w:ascii="Times New Roman" w:eastAsia="Times New Roman" w:hAnsi="Times New Roman" w:cs="Times New Roman"/>
          <w:b/>
          <w:bCs/>
          <w:sz w:val="20"/>
          <w:szCs w:val="20"/>
          <w:lang w:eastAsia="et-EE"/>
        </w:rPr>
      </w:pPr>
      <w:r w:rsidRPr="00A44F19">
        <w:rPr>
          <w:rFonts w:ascii="Times New Roman" w:eastAsia="Times New Roman" w:hAnsi="Times New Roman" w:cs="Times New Roman"/>
          <w:b/>
          <w:bCs/>
          <w:sz w:val="20"/>
          <w:szCs w:val="20"/>
          <w:lang w:eastAsia="et-EE"/>
        </w:rPr>
        <w:t>Rauasulfaat</w:t>
      </w:r>
    </w:p>
    <w:p w:rsidR="00A44F19" w:rsidRPr="00A44F19" w:rsidRDefault="00A44F19" w:rsidP="00A44F19">
      <w:pPr>
        <w:spacing w:after="45" w:line="240" w:lineRule="auto"/>
        <w:rPr>
          <w:rFonts w:ascii="Times New Roman" w:eastAsia="Times New Roman" w:hAnsi="Times New Roman" w:cs="Times New Roman"/>
          <w:sz w:val="24"/>
          <w:szCs w:val="24"/>
          <w:lang w:eastAsia="et-EE"/>
        </w:rPr>
      </w:pPr>
      <w:r w:rsidRPr="00A44F19">
        <w:rPr>
          <w:rFonts w:ascii="Times New Roman" w:eastAsia="Times New Roman" w:hAnsi="Times New Roman" w:cs="Times New Roman"/>
          <w:sz w:val="24"/>
          <w:szCs w:val="24"/>
          <w:lang w:eastAsia="et-EE"/>
        </w:rPr>
        <w:t xml:space="preserve">Rauasulfaat teeb puidu halliks umbes paari kuuga ning samaaegselt kaitseb puitu. Viimistlemine </w:t>
      </w:r>
      <w:proofErr w:type="spellStart"/>
      <w:r w:rsidRPr="00A44F19">
        <w:rPr>
          <w:rFonts w:ascii="Times New Roman" w:eastAsia="Times New Roman" w:hAnsi="Times New Roman" w:cs="Times New Roman"/>
          <w:sz w:val="24"/>
          <w:szCs w:val="24"/>
          <w:lang w:eastAsia="et-EE"/>
        </w:rPr>
        <w:t>rauasulfaagiga</w:t>
      </w:r>
      <w:proofErr w:type="spellEnd"/>
      <w:r w:rsidRPr="00A44F19">
        <w:rPr>
          <w:rFonts w:ascii="Times New Roman" w:eastAsia="Times New Roman" w:hAnsi="Times New Roman" w:cs="Times New Roman"/>
          <w:sz w:val="24"/>
          <w:szCs w:val="24"/>
          <w:lang w:eastAsia="et-EE"/>
        </w:rPr>
        <w:t xml:space="preserve"> annab mõne aja pärast kauni ja vastupidava hallika tooni. Rauasulfaat on pulbri kujul, mida lahustatakse vees. Rauasulfaat annab hea kaitse hallitus- ja mädanikseente vastu. Rauasulfaati võib kasutada hallituse ja mädaniku vastu keeduvärvides. </w:t>
      </w:r>
    </w:p>
    <w:tbl>
      <w:tblPr>
        <w:tblW w:w="5130" w:type="pct"/>
        <w:tblCellSpacing w:w="0" w:type="dxa"/>
        <w:tblInd w:w="-239" w:type="dxa"/>
        <w:tblCellMar>
          <w:left w:w="0" w:type="dxa"/>
          <w:right w:w="0" w:type="dxa"/>
        </w:tblCellMar>
        <w:tblLook w:val="04A0" w:firstRow="1" w:lastRow="0" w:firstColumn="1" w:lastColumn="0" w:noHBand="0" w:noVBand="1"/>
      </w:tblPr>
      <w:tblGrid>
        <w:gridCol w:w="3446"/>
        <w:gridCol w:w="6"/>
        <w:gridCol w:w="45"/>
        <w:gridCol w:w="5903"/>
      </w:tblGrid>
      <w:tr w:rsidR="00A44F19" w:rsidRPr="00A44F19" w:rsidTr="005143DA">
        <w:trPr>
          <w:tblCellSpacing w:w="0" w:type="dxa"/>
        </w:trPr>
        <w:tc>
          <w:tcPr>
            <w:tcW w:w="1833" w:type="pct"/>
            <w:tcMar>
              <w:top w:w="45" w:type="dxa"/>
              <w:left w:w="45" w:type="dxa"/>
              <w:bottom w:w="45" w:type="dxa"/>
              <w:right w:w="45" w:type="dxa"/>
            </w:tcMar>
            <w:hideMark/>
          </w:tcPr>
          <w:p w:rsidR="00A44F19" w:rsidRPr="00A44F19" w:rsidRDefault="00A44F19" w:rsidP="00A44F19">
            <w:pPr>
              <w:spacing w:after="0" w:line="240" w:lineRule="auto"/>
              <w:rPr>
                <w:rFonts w:ascii="Times New Roman" w:eastAsia="Times New Roman" w:hAnsi="Times New Roman" w:cs="Times New Roman"/>
                <w:sz w:val="24"/>
                <w:szCs w:val="24"/>
                <w:lang w:eastAsia="et-EE"/>
              </w:rPr>
            </w:pPr>
          </w:p>
        </w:tc>
        <w:tc>
          <w:tcPr>
            <w:tcW w:w="3" w:type="pct"/>
            <w:vAlign w:val="center"/>
            <w:hideMark/>
          </w:tcPr>
          <w:p w:rsidR="00A44F19" w:rsidRPr="00A44F19" w:rsidRDefault="00A44F19" w:rsidP="00A44F19">
            <w:pPr>
              <w:spacing w:after="0" w:line="240" w:lineRule="auto"/>
              <w:rPr>
                <w:rFonts w:ascii="Times New Roman" w:eastAsia="Times New Roman" w:hAnsi="Times New Roman" w:cs="Times New Roman"/>
                <w:sz w:val="24"/>
                <w:szCs w:val="24"/>
                <w:lang w:eastAsia="et-EE"/>
              </w:rPr>
            </w:pPr>
          </w:p>
        </w:tc>
        <w:tc>
          <w:tcPr>
            <w:tcW w:w="24" w:type="pct"/>
            <w:vAlign w:val="center"/>
            <w:hideMark/>
          </w:tcPr>
          <w:p w:rsidR="00A44F19" w:rsidRPr="00A44F19" w:rsidRDefault="00A44F19" w:rsidP="00A44F19">
            <w:pPr>
              <w:spacing w:after="0" w:line="240" w:lineRule="auto"/>
              <w:rPr>
                <w:rFonts w:ascii="Times New Roman" w:eastAsia="Times New Roman" w:hAnsi="Times New Roman" w:cs="Times New Roman"/>
                <w:sz w:val="24"/>
                <w:szCs w:val="24"/>
                <w:lang w:eastAsia="et-EE"/>
              </w:rPr>
            </w:pPr>
          </w:p>
        </w:tc>
        <w:tc>
          <w:tcPr>
            <w:tcW w:w="3140" w:type="pct"/>
            <w:tcMar>
              <w:top w:w="45" w:type="dxa"/>
              <w:left w:w="45" w:type="dxa"/>
              <w:bottom w:w="45" w:type="dxa"/>
              <w:right w:w="45" w:type="dxa"/>
            </w:tcMar>
            <w:hideMark/>
          </w:tcPr>
          <w:p w:rsidR="00A44F19" w:rsidRPr="00A44F19" w:rsidRDefault="00A44F19" w:rsidP="00A44F19">
            <w:pPr>
              <w:spacing w:after="0" w:line="240" w:lineRule="auto"/>
              <w:rPr>
                <w:rFonts w:ascii="Times New Roman" w:eastAsia="Times New Roman" w:hAnsi="Times New Roman" w:cs="Times New Roman"/>
                <w:sz w:val="24"/>
                <w:szCs w:val="24"/>
                <w:lang w:eastAsia="et-EE"/>
              </w:rPr>
            </w:pPr>
            <w:r w:rsidRPr="00A44F19">
              <w:rPr>
                <w:rFonts w:ascii="Times New Roman" w:eastAsia="Times New Roman" w:hAnsi="Times New Roman" w:cs="Times New Roman"/>
                <w:sz w:val="24"/>
                <w:szCs w:val="24"/>
                <w:u w:val="single"/>
                <w:lang w:eastAsia="et-EE"/>
              </w:rPr>
              <w:t>Kasutuskohad</w:t>
            </w:r>
            <w:r w:rsidRPr="00A44F19">
              <w:rPr>
                <w:rFonts w:ascii="Times New Roman" w:eastAsia="Times New Roman" w:hAnsi="Times New Roman" w:cs="Times New Roman"/>
                <w:sz w:val="24"/>
                <w:szCs w:val="24"/>
                <w:lang w:eastAsia="et-EE"/>
              </w:rPr>
              <w:t>:</w:t>
            </w:r>
            <w:r w:rsidRPr="00A44F19">
              <w:rPr>
                <w:rFonts w:ascii="Times New Roman" w:eastAsia="Times New Roman" w:hAnsi="Times New Roman" w:cs="Times New Roman"/>
                <w:sz w:val="24"/>
                <w:szCs w:val="24"/>
                <w:lang w:eastAsia="et-EE"/>
              </w:rPr>
              <w:br/>
              <w:t xml:space="preserve">palkmajade viimistlemine, keeduvärvides hallituse ja mädaniku vastu. </w:t>
            </w:r>
          </w:p>
        </w:tc>
      </w:tr>
    </w:tbl>
    <w:p w:rsidR="00A44F19" w:rsidRPr="00A44F19" w:rsidRDefault="00A44F19" w:rsidP="00A44F19">
      <w:pPr>
        <w:spacing w:after="150" w:line="240" w:lineRule="auto"/>
        <w:rPr>
          <w:rFonts w:ascii="Times New Roman" w:eastAsia="Times New Roman" w:hAnsi="Times New Roman" w:cs="Times New Roman"/>
          <w:sz w:val="24"/>
          <w:szCs w:val="24"/>
          <w:lang w:eastAsia="et-EE"/>
        </w:rPr>
      </w:pPr>
      <w:r w:rsidRPr="00A44F19">
        <w:rPr>
          <w:rFonts w:ascii="Times New Roman" w:eastAsia="Times New Roman" w:hAnsi="Times New Roman" w:cs="Times New Roman"/>
          <w:sz w:val="24"/>
          <w:szCs w:val="24"/>
          <w:u w:val="single"/>
          <w:lang w:eastAsia="et-EE"/>
        </w:rPr>
        <w:t>Kasutamisjuhend</w:t>
      </w:r>
      <w:r w:rsidRPr="00A44F19">
        <w:rPr>
          <w:rFonts w:ascii="Times New Roman" w:eastAsia="Times New Roman" w:hAnsi="Times New Roman" w:cs="Times New Roman"/>
          <w:sz w:val="24"/>
          <w:szCs w:val="24"/>
          <w:lang w:eastAsia="et-EE"/>
        </w:rPr>
        <w:t>:</w:t>
      </w:r>
      <w:r w:rsidRPr="00A44F19">
        <w:rPr>
          <w:rFonts w:ascii="Times New Roman" w:eastAsia="Times New Roman" w:hAnsi="Times New Roman" w:cs="Times New Roman"/>
          <w:sz w:val="24"/>
          <w:szCs w:val="24"/>
          <w:lang w:eastAsia="et-EE"/>
        </w:rPr>
        <w:br/>
        <w:t xml:space="preserve">Segatakse hoolikalt sooja vette, segamissuhe: segada u. 1 kg Rauasulfaati 5 liitrisse vette. Rauasulfaati kantakse puidule piisavalt palju, nii et puit märgub ja aine imendub puitu. Ainet kantakse palju pintsliga peale nii, et ei tekiks voolamist. Võtab aega mõni tund, kui puitpind tumeneb ning lõplik toon tuleb esile umbes paari-kolme kuu pärast. Päikesevalgus intensiivistab pinna tumenemist. Lõplikku tooni mõjutab ka puidu kvaliteet ja ladustamise aeg. Võimalusel testi tooni paar kuud enne lõplikku viimistlemist. Kulu: </w:t>
      </w:r>
      <w:proofErr w:type="spellStart"/>
      <w:r w:rsidRPr="00A44F19">
        <w:rPr>
          <w:rFonts w:ascii="Times New Roman" w:eastAsia="Times New Roman" w:hAnsi="Times New Roman" w:cs="Times New Roman"/>
          <w:sz w:val="24"/>
          <w:szCs w:val="24"/>
          <w:lang w:eastAsia="et-EE"/>
        </w:rPr>
        <w:t>saematejalile</w:t>
      </w:r>
      <w:proofErr w:type="spellEnd"/>
      <w:r w:rsidRPr="00A44F19">
        <w:rPr>
          <w:rFonts w:ascii="Times New Roman" w:eastAsia="Times New Roman" w:hAnsi="Times New Roman" w:cs="Times New Roman"/>
          <w:sz w:val="24"/>
          <w:szCs w:val="24"/>
          <w:lang w:eastAsia="et-EE"/>
        </w:rPr>
        <w:t xml:space="preserve"> 4-5 m2 / 1 liiter hööveldatud pinnale 8-10 m2 / 1 liiter Kuivamisaeg: u. 3 tundi </w:t>
      </w:r>
    </w:p>
    <w:bookmarkEnd w:id="0"/>
    <w:p w:rsidR="00A44F19" w:rsidRDefault="00A44F19"/>
    <w:sectPr w:rsidR="00A44F19" w:rsidSect="005C68C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2"/>
  </w:compat>
  <w:rsids>
    <w:rsidRoot w:val="00A44F19"/>
    <w:rsid w:val="005143DA"/>
    <w:rsid w:val="005C68C5"/>
    <w:rsid w:val="00A44F1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4A1DF98-148D-4A73-9988-158AC9FAD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5C68C5"/>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0905843">
      <w:bodyDiv w:val="1"/>
      <w:marLeft w:val="0"/>
      <w:marRight w:val="0"/>
      <w:marTop w:val="0"/>
      <w:marBottom w:val="0"/>
      <w:divBdr>
        <w:top w:val="none" w:sz="0" w:space="0" w:color="auto"/>
        <w:left w:val="none" w:sz="0" w:space="0" w:color="auto"/>
        <w:bottom w:val="none" w:sz="0" w:space="0" w:color="auto"/>
        <w:right w:val="none" w:sz="0" w:space="0" w:color="auto"/>
      </w:divBdr>
      <w:divsChild>
        <w:div w:id="751925000">
          <w:marLeft w:val="0"/>
          <w:marRight w:val="0"/>
          <w:marTop w:val="0"/>
          <w:marBottom w:val="0"/>
          <w:divBdr>
            <w:top w:val="none" w:sz="0" w:space="0" w:color="auto"/>
            <w:left w:val="none" w:sz="0" w:space="0" w:color="auto"/>
            <w:bottom w:val="none" w:sz="0" w:space="0" w:color="auto"/>
            <w:right w:val="none" w:sz="0" w:space="0" w:color="auto"/>
          </w:divBdr>
        </w:div>
        <w:div w:id="252057858">
          <w:marLeft w:val="0"/>
          <w:marRight w:val="0"/>
          <w:marTop w:val="45"/>
          <w:marBottom w:val="45"/>
          <w:divBdr>
            <w:top w:val="none" w:sz="0" w:space="0" w:color="auto"/>
            <w:left w:val="none" w:sz="0" w:space="0" w:color="auto"/>
            <w:bottom w:val="none" w:sz="0" w:space="0" w:color="auto"/>
            <w:right w:val="none" w:sz="0" w:space="0" w:color="auto"/>
          </w:divBdr>
        </w:div>
        <w:div w:id="2004889322">
          <w:marLeft w:val="0"/>
          <w:marRight w:val="0"/>
          <w:marTop w:val="45"/>
          <w:marBottom w:val="150"/>
          <w:divBdr>
            <w:top w:val="none" w:sz="0" w:space="0" w:color="auto"/>
            <w:left w:val="none" w:sz="0" w:space="0" w:color="auto"/>
            <w:bottom w:val="none" w:sz="0" w:space="0" w:color="auto"/>
            <w:right w:val="none" w:sz="0" w:space="0" w:color="auto"/>
          </w:divBdr>
        </w:div>
      </w:divsChild>
    </w:div>
    <w:div w:id="2013684551">
      <w:bodyDiv w:val="1"/>
      <w:marLeft w:val="0"/>
      <w:marRight w:val="0"/>
      <w:marTop w:val="0"/>
      <w:marBottom w:val="0"/>
      <w:divBdr>
        <w:top w:val="none" w:sz="0" w:space="0" w:color="auto"/>
        <w:left w:val="none" w:sz="0" w:space="0" w:color="auto"/>
        <w:bottom w:val="none" w:sz="0" w:space="0" w:color="auto"/>
        <w:right w:val="none" w:sz="0" w:space="0" w:color="auto"/>
      </w:divBdr>
      <w:divsChild>
        <w:div w:id="173767590">
          <w:marLeft w:val="0"/>
          <w:marRight w:val="0"/>
          <w:marTop w:val="0"/>
          <w:marBottom w:val="0"/>
          <w:divBdr>
            <w:top w:val="none" w:sz="0" w:space="0" w:color="auto"/>
            <w:left w:val="none" w:sz="0" w:space="0" w:color="auto"/>
            <w:bottom w:val="none" w:sz="0" w:space="0" w:color="auto"/>
            <w:right w:val="none" w:sz="0" w:space="0" w:color="auto"/>
          </w:divBdr>
        </w:div>
        <w:div w:id="849833019">
          <w:marLeft w:val="0"/>
          <w:marRight w:val="0"/>
          <w:marTop w:val="45"/>
          <w:marBottom w:val="45"/>
          <w:divBdr>
            <w:top w:val="none" w:sz="0" w:space="0" w:color="auto"/>
            <w:left w:val="none" w:sz="0" w:space="0" w:color="auto"/>
            <w:bottom w:val="none" w:sz="0" w:space="0" w:color="auto"/>
            <w:right w:val="none" w:sz="0" w:space="0" w:color="auto"/>
          </w:divBdr>
        </w:div>
        <w:div w:id="867638934">
          <w:marLeft w:val="0"/>
          <w:marRight w:val="0"/>
          <w:marTop w:val="45"/>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294</Words>
  <Characters>1706</Characters>
  <Application>Microsoft Office Word</Application>
  <DocSecurity>0</DocSecurity>
  <Lines>14</Lines>
  <Paragraphs>3</Paragraphs>
  <ScaleCrop>false</ScaleCrop>
  <Company/>
  <LinksUpToDate>false</LinksUpToDate>
  <CharactersWithSpaces>1997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Taivo</dc:creator>
  <cp:keywords/>
  <dc:description/>
  <cp:lastModifiedBy>Taivo Kraus</cp:lastModifiedBy>
  <cp:revision>5</cp:revision>
  <dcterms:created xsi:type="dcterms:W3CDTF">2008-11-13T09:40:00Z</dcterms:created>
  <dcterms:modified xsi:type="dcterms:W3CDTF">2014-05-14T13:08:00Z</dcterms:modified>
</cp:coreProperties>
</file>